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28" w:rsidRPr="00B05880" w:rsidRDefault="00BB3AA8" w:rsidP="00BB3AA8">
      <w:pPr>
        <w:keepNext/>
        <w:keepLines/>
        <w:spacing w:after="0" w:line="240" w:lineRule="auto"/>
        <w:jc w:val="both"/>
        <w:outlineLvl w:val="0"/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Příloha </w:t>
      </w:r>
      <w:r w:rsidR="000F01CC">
        <w:rPr>
          <w:rFonts w:ascii="Arial" w:hAnsi="Arial" w:cs="Arial"/>
          <w:b/>
          <w:color w:val="0070C0"/>
          <w:sz w:val="28"/>
          <w:szCs w:val="28"/>
        </w:rPr>
        <w:t>1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– S</w:t>
      </w:r>
      <w:r w:rsidR="000F01CC">
        <w:rPr>
          <w:rFonts w:ascii="Arial" w:hAnsi="Arial" w:cs="Arial"/>
          <w:b/>
          <w:color w:val="0070C0"/>
          <w:sz w:val="28"/>
          <w:szCs w:val="28"/>
        </w:rPr>
        <w:t>hrnutí výsledků z jednání o návrhu rozpočtu 2019+ s jednotlivými poskytovateli</w:t>
      </w:r>
    </w:p>
    <w:p w:rsidR="00315EF6" w:rsidRDefault="00315EF6" w:rsidP="00315EF6">
      <w:pPr>
        <w:spacing w:after="0" w:line="240" w:lineRule="auto"/>
        <w:ind w:left="360"/>
        <w:contextualSpacing/>
        <w:jc w:val="both"/>
        <w:rPr>
          <w:rFonts w:ascii="Arial" w:eastAsia="Arial" w:hAnsi="Arial" w:cs="Arial"/>
        </w:rPr>
      </w:pPr>
    </w:p>
    <w:p w:rsidR="000F01CC" w:rsidRPr="00315EF6" w:rsidRDefault="000F01CC" w:rsidP="00315EF6">
      <w:pPr>
        <w:spacing w:after="0" w:line="240" w:lineRule="auto"/>
        <w:ind w:left="360"/>
        <w:contextualSpacing/>
        <w:jc w:val="both"/>
        <w:rPr>
          <w:rFonts w:ascii="Arial" w:eastAsia="Arial" w:hAnsi="Arial" w:cs="Arial"/>
        </w:rPr>
      </w:pPr>
    </w:p>
    <w:p w:rsidR="00F0011E" w:rsidRPr="00BB3AA8" w:rsidRDefault="00F0011E" w:rsidP="00BB3AA8">
      <w:pPr>
        <w:pStyle w:val="Nadpis2"/>
        <w:numPr>
          <w:ilvl w:val="0"/>
          <w:numId w:val="32"/>
        </w:numPr>
        <w:spacing w:before="0" w:line="24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BB3AA8">
        <w:rPr>
          <w:rFonts w:ascii="Arial" w:hAnsi="Arial" w:cs="Arial"/>
          <w:color w:val="auto"/>
          <w:sz w:val="22"/>
          <w:szCs w:val="22"/>
        </w:rPr>
        <w:t xml:space="preserve">Souhrn nadpožadavků nad střednědobý výhled na roky 2019 </w:t>
      </w:r>
      <w:r w:rsidR="00315EF6" w:rsidRPr="00BB3AA8">
        <w:rPr>
          <w:rFonts w:ascii="Arial" w:hAnsi="Arial" w:cs="Arial"/>
          <w:color w:val="auto"/>
          <w:sz w:val="22"/>
          <w:szCs w:val="22"/>
        </w:rPr>
        <w:t>–</w:t>
      </w:r>
      <w:r w:rsidRPr="00BB3AA8">
        <w:rPr>
          <w:rFonts w:ascii="Arial" w:hAnsi="Arial" w:cs="Arial"/>
          <w:color w:val="auto"/>
          <w:sz w:val="22"/>
          <w:szCs w:val="22"/>
        </w:rPr>
        <w:t xml:space="preserve"> 2021</w:t>
      </w:r>
      <w:r w:rsidR="00315EF6" w:rsidRPr="00BB3AA8">
        <w:rPr>
          <w:rFonts w:ascii="Arial" w:hAnsi="Arial" w:cs="Arial"/>
          <w:color w:val="auto"/>
          <w:sz w:val="22"/>
          <w:szCs w:val="22"/>
        </w:rPr>
        <w:t xml:space="preserve"> předložených poskytovateli pro přípravu rozpočtu na VaVaI</w:t>
      </w:r>
      <w:r w:rsidR="005256D1" w:rsidRPr="005256D1">
        <w:rPr>
          <w:rFonts w:ascii="Arial" w:hAnsi="Arial" w:cs="Arial"/>
          <w:b w:val="0"/>
          <w:color w:val="auto"/>
          <w:sz w:val="22"/>
          <w:szCs w:val="22"/>
        </w:rPr>
        <w:t xml:space="preserve"> (v mil. Kč)</w:t>
      </w:r>
    </w:p>
    <w:p w:rsidR="00315EF6" w:rsidRPr="0054473A" w:rsidRDefault="00315EF6" w:rsidP="00315EF6">
      <w:pPr>
        <w:spacing w:after="0" w:line="240" w:lineRule="auto"/>
        <w:rPr>
          <w:sz w:val="16"/>
          <w:szCs w:val="16"/>
        </w:rPr>
      </w:pP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1227"/>
        <w:gridCol w:w="1276"/>
        <w:gridCol w:w="1134"/>
        <w:gridCol w:w="1134"/>
        <w:gridCol w:w="1134"/>
        <w:gridCol w:w="1276"/>
        <w:gridCol w:w="1134"/>
      </w:tblGrid>
      <w:tr w:rsidR="005256D1" w:rsidRPr="005256D1" w:rsidTr="00A42A7B">
        <w:trPr>
          <w:trHeight w:val="543"/>
        </w:trPr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4" w:space="0" w:color="DCE6F1"/>
              <w:right w:val="single" w:sz="8" w:space="0" w:color="auto"/>
            </w:tcBorders>
            <w:shd w:val="clear" w:color="366092" w:fill="366092"/>
            <w:vAlign w:val="center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  <w:t>Rozpočtová kapitola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366092" w:fill="366092"/>
            <w:vAlign w:val="center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SR 2018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366092" w:fill="366092"/>
            <w:vAlign w:val="center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2019</w:t>
            </w:r>
            <w:r w:rsidR="0054473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*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366092" w:fill="366092"/>
            <w:vAlign w:val="center"/>
            <w:hideMark/>
          </w:tcPr>
          <w:p w:rsidR="005256D1" w:rsidRPr="00376B2C" w:rsidRDefault="00A42A7B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  <w:t xml:space="preserve">2019 </w:t>
            </w:r>
            <w:proofErr w:type="spellStart"/>
            <w:r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  <w:t>nadpožad</w:t>
            </w:r>
            <w:proofErr w:type="spellEnd"/>
            <w:r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366092" w:fill="366092"/>
            <w:vAlign w:val="center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2020</w:t>
            </w:r>
            <w:r w:rsidR="0054473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*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366092" w:fill="366092"/>
            <w:vAlign w:val="center"/>
            <w:hideMark/>
          </w:tcPr>
          <w:p w:rsidR="005256D1" w:rsidRPr="00376B2C" w:rsidRDefault="00A42A7B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  <w:t xml:space="preserve">2020 </w:t>
            </w:r>
            <w:proofErr w:type="spellStart"/>
            <w:r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  <w:t>nadpožad</w:t>
            </w:r>
            <w:proofErr w:type="spellEnd"/>
            <w:r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366092" w:fill="366092"/>
            <w:vAlign w:val="center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2021</w:t>
            </w:r>
            <w:r w:rsidR="0054473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**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366092" w:fill="366092"/>
            <w:vAlign w:val="center"/>
            <w:hideMark/>
          </w:tcPr>
          <w:p w:rsidR="005256D1" w:rsidRPr="00376B2C" w:rsidRDefault="00A42A7B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  <w:t xml:space="preserve">2021 </w:t>
            </w:r>
            <w:proofErr w:type="spellStart"/>
            <w:r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  <w:t>nadpožad</w:t>
            </w:r>
            <w:proofErr w:type="spellEnd"/>
            <w:r>
              <w:rPr>
                <w:rFonts w:ascii="Arial" w:eastAsia="Times New Roman" w:hAnsi="Arial" w:cs="Arial"/>
                <w:color w:val="FFFFFF"/>
                <w:sz w:val="18"/>
                <w:szCs w:val="18"/>
                <w:lang w:eastAsia="cs-CZ"/>
              </w:rPr>
              <w:t>.</w:t>
            </w:r>
          </w:p>
        </w:tc>
      </w:tr>
      <w:tr w:rsidR="005256D1" w:rsidRPr="005256D1" w:rsidTr="00A42A7B">
        <w:trPr>
          <w:trHeight w:val="252"/>
        </w:trPr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ÚV ČR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5256D1" w:rsidRPr="005256D1" w:rsidTr="00A42A7B">
        <w:trPr>
          <w:trHeight w:val="266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MZV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</w:tr>
      <w:tr w:rsidR="005256D1" w:rsidRPr="005256D1" w:rsidTr="00A42A7B">
        <w:trPr>
          <w:trHeight w:val="283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MO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5256D1" w:rsidRPr="005256D1" w:rsidTr="00A42A7B">
        <w:trPr>
          <w:trHeight w:val="26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MPSV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5256D1" w:rsidRPr="005256D1" w:rsidTr="00A42A7B">
        <w:trPr>
          <w:trHeight w:val="277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MV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5256D1" w:rsidRPr="005256D1" w:rsidTr="00A42A7B">
        <w:trPr>
          <w:trHeight w:val="282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MŽP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438</w:t>
            </w:r>
          </w:p>
        </w:tc>
      </w:tr>
      <w:tr w:rsidR="005256D1" w:rsidRPr="005256D1" w:rsidTr="00A42A7B">
        <w:trPr>
          <w:trHeight w:val="258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GA ČR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1 116</w:t>
            </w:r>
          </w:p>
        </w:tc>
      </w:tr>
      <w:tr w:rsidR="005256D1" w:rsidRPr="005256D1" w:rsidTr="00A42A7B">
        <w:trPr>
          <w:trHeight w:val="29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MPO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5256D1" w:rsidRPr="005256D1" w:rsidTr="00A42A7B">
        <w:trPr>
          <w:trHeight w:val="28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MD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5256D1" w:rsidRPr="005256D1" w:rsidTr="00A42A7B">
        <w:trPr>
          <w:trHeight w:val="256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MZe</w:t>
            </w:r>
            <w:proofErr w:type="spellEnd"/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363</w:t>
            </w:r>
          </w:p>
        </w:tc>
      </w:tr>
      <w:tr w:rsidR="005256D1" w:rsidRPr="005256D1" w:rsidTr="00A42A7B">
        <w:trPr>
          <w:trHeight w:val="274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MŠMT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14 345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14 839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14 492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14 492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5256D1" w:rsidRPr="005256D1" w:rsidTr="00A42A7B">
        <w:trPr>
          <w:trHeight w:val="278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MK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5256D1" w:rsidRPr="005256D1" w:rsidTr="005256D1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MZd</w:t>
            </w:r>
            <w:proofErr w:type="spellEnd"/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1 558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366092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66092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254</w:t>
            </w:r>
          </w:p>
        </w:tc>
      </w:tr>
      <w:tr w:rsidR="005256D1" w:rsidRPr="005256D1" w:rsidTr="00A42A7B">
        <w:trPr>
          <w:trHeight w:val="258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AV ČR</w:t>
            </w:r>
          </w:p>
        </w:tc>
        <w:tc>
          <w:tcPr>
            <w:tcW w:w="122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5 685</w:t>
            </w:r>
          </w:p>
        </w:tc>
        <w:tc>
          <w:tcPr>
            <w:tcW w:w="1276" w:type="dxa"/>
            <w:tcBorders>
              <w:top w:val="single" w:sz="4" w:space="0" w:color="DCE6F1"/>
              <w:left w:val="single" w:sz="4" w:space="0" w:color="auto"/>
              <w:bottom w:val="single" w:sz="4" w:space="0" w:color="DCE6F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6 010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74</w:t>
            </w:r>
          </w:p>
        </w:tc>
        <w:tc>
          <w:tcPr>
            <w:tcW w:w="1134" w:type="dxa"/>
            <w:tcBorders>
              <w:top w:val="single" w:sz="4" w:space="0" w:color="DCE6F1"/>
              <w:left w:val="single" w:sz="4" w:space="0" w:color="auto"/>
              <w:bottom w:val="single" w:sz="4" w:space="0" w:color="DCE6F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6 116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406</w:t>
            </w:r>
          </w:p>
        </w:tc>
        <w:tc>
          <w:tcPr>
            <w:tcW w:w="1276" w:type="dxa"/>
            <w:tcBorders>
              <w:top w:val="single" w:sz="4" w:space="0" w:color="DCE6F1"/>
              <w:left w:val="single" w:sz="4" w:space="0" w:color="auto"/>
              <w:bottom w:val="single" w:sz="4" w:space="0" w:color="DCE6F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6 116</w:t>
            </w:r>
          </w:p>
        </w:tc>
        <w:tc>
          <w:tcPr>
            <w:tcW w:w="1134" w:type="dxa"/>
            <w:tcBorders>
              <w:top w:val="single" w:sz="4" w:space="0" w:color="DCE6F1"/>
              <w:left w:val="nil"/>
              <w:bottom w:val="single" w:sz="4" w:space="0" w:color="DCE6F1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774</w:t>
            </w:r>
          </w:p>
        </w:tc>
      </w:tr>
      <w:tr w:rsidR="005256D1" w:rsidRPr="005256D1" w:rsidTr="00A42A7B">
        <w:trPr>
          <w:trHeight w:val="262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TA ČR </w:t>
            </w:r>
          </w:p>
        </w:tc>
        <w:tc>
          <w:tcPr>
            <w:tcW w:w="12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4 279</w:t>
            </w:r>
          </w:p>
        </w:tc>
        <w:tc>
          <w:tcPr>
            <w:tcW w:w="1276" w:type="dxa"/>
            <w:tcBorders>
              <w:top w:val="single" w:sz="4" w:space="0" w:color="366092"/>
              <w:left w:val="single" w:sz="4" w:space="0" w:color="auto"/>
              <w:bottom w:val="single" w:sz="4" w:space="0" w:color="366092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4 294</w:t>
            </w:r>
          </w:p>
        </w:tc>
        <w:tc>
          <w:tcPr>
            <w:tcW w:w="113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single" w:sz="4" w:space="0" w:color="366092"/>
              <w:left w:val="single" w:sz="4" w:space="0" w:color="auto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4 294</w:t>
            </w:r>
          </w:p>
        </w:tc>
        <w:tc>
          <w:tcPr>
            <w:tcW w:w="113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276" w:type="dxa"/>
            <w:tcBorders>
              <w:top w:val="single" w:sz="4" w:space="0" w:color="366092"/>
              <w:left w:val="single" w:sz="4" w:space="0" w:color="auto"/>
              <w:bottom w:val="single" w:sz="4" w:space="0" w:color="366092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4 294</w:t>
            </w:r>
          </w:p>
        </w:tc>
        <w:tc>
          <w:tcPr>
            <w:tcW w:w="1134" w:type="dxa"/>
            <w:tcBorders>
              <w:top w:val="single" w:sz="4" w:space="0" w:color="366092"/>
              <w:left w:val="nil"/>
              <w:bottom w:val="single" w:sz="4" w:space="0" w:color="366092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738</w:t>
            </w:r>
          </w:p>
        </w:tc>
      </w:tr>
      <w:tr w:rsidR="005256D1" w:rsidRPr="005256D1" w:rsidTr="00A42A7B">
        <w:trPr>
          <w:trHeight w:val="223"/>
        </w:trPr>
        <w:tc>
          <w:tcPr>
            <w:tcW w:w="1198" w:type="dxa"/>
            <w:tcBorders>
              <w:top w:val="double" w:sz="6" w:space="0" w:color="366092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5256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227" w:type="dxa"/>
            <w:tcBorders>
              <w:top w:val="double" w:sz="6" w:space="0" w:color="366092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34 797</w:t>
            </w:r>
          </w:p>
        </w:tc>
        <w:tc>
          <w:tcPr>
            <w:tcW w:w="1276" w:type="dxa"/>
            <w:tcBorders>
              <w:top w:val="double" w:sz="6" w:space="0" w:color="366092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36 989</w:t>
            </w:r>
          </w:p>
        </w:tc>
        <w:tc>
          <w:tcPr>
            <w:tcW w:w="1134" w:type="dxa"/>
            <w:tcBorders>
              <w:top w:val="double" w:sz="6" w:space="0" w:color="366092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323</w:t>
            </w:r>
          </w:p>
        </w:tc>
        <w:tc>
          <w:tcPr>
            <w:tcW w:w="1134" w:type="dxa"/>
            <w:tcBorders>
              <w:top w:val="double" w:sz="6" w:space="0" w:color="366092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37 492</w:t>
            </w:r>
          </w:p>
        </w:tc>
        <w:tc>
          <w:tcPr>
            <w:tcW w:w="1134" w:type="dxa"/>
            <w:tcBorders>
              <w:top w:val="double" w:sz="6" w:space="0" w:color="366092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1 310</w:t>
            </w:r>
          </w:p>
        </w:tc>
        <w:tc>
          <w:tcPr>
            <w:tcW w:w="1276" w:type="dxa"/>
            <w:tcBorders>
              <w:top w:val="double" w:sz="6" w:space="0" w:color="366092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37 492</w:t>
            </w:r>
          </w:p>
        </w:tc>
        <w:tc>
          <w:tcPr>
            <w:tcW w:w="1134" w:type="dxa"/>
            <w:tcBorders>
              <w:top w:val="double" w:sz="6" w:space="0" w:color="366092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256D1" w:rsidRPr="00376B2C" w:rsidRDefault="005256D1" w:rsidP="00A42A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76B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3 689</w:t>
            </w:r>
          </w:p>
        </w:tc>
      </w:tr>
    </w:tbl>
    <w:p w:rsidR="0054473A" w:rsidRPr="0054473A" w:rsidRDefault="0054473A" w:rsidP="0054473A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2D0661" w:rsidRPr="0054473A" w:rsidRDefault="0054473A" w:rsidP="0054473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4473A">
        <w:rPr>
          <w:rFonts w:ascii="Arial" w:hAnsi="Arial" w:cs="Arial"/>
          <w:sz w:val="20"/>
          <w:szCs w:val="20"/>
        </w:rPr>
        <w:t>* schválený střednědobý výhled</w:t>
      </w:r>
    </w:p>
    <w:p w:rsidR="0054473A" w:rsidRPr="0054473A" w:rsidRDefault="0054473A" w:rsidP="0054473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4473A">
        <w:rPr>
          <w:rFonts w:ascii="Arial" w:hAnsi="Arial" w:cs="Arial"/>
          <w:sz w:val="20"/>
          <w:szCs w:val="20"/>
        </w:rPr>
        <w:t>** výchozí návrh Rady</w:t>
      </w:r>
    </w:p>
    <w:p w:rsidR="005256D1" w:rsidRPr="0054473A" w:rsidRDefault="005256D1" w:rsidP="002D0661">
      <w:pPr>
        <w:spacing w:after="0" w:line="240" w:lineRule="auto"/>
        <w:rPr>
          <w:rFonts w:ascii="Arial" w:hAnsi="Arial" w:cs="Arial"/>
        </w:rPr>
      </w:pPr>
    </w:p>
    <w:p w:rsidR="00F0011E" w:rsidRPr="00BB3AA8" w:rsidRDefault="00F0011E" w:rsidP="00BB3AA8">
      <w:pPr>
        <w:pStyle w:val="Nadpis2"/>
        <w:numPr>
          <w:ilvl w:val="0"/>
          <w:numId w:val="32"/>
        </w:numPr>
        <w:spacing w:before="0" w:line="24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BB3AA8">
        <w:rPr>
          <w:rFonts w:ascii="Arial" w:hAnsi="Arial" w:cs="Arial"/>
          <w:color w:val="auto"/>
          <w:sz w:val="22"/>
          <w:szCs w:val="22"/>
        </w:rPr>
        <w:t xml:space="preserve">Sumarizace nároků z nespotřebovaných výdajů (NNV) k 1. 1. 2018 </w:t>
      </w:r>
      <w:r w:rsidRPr="002D0661">
        <w:rPr>
          <w:rFonts w:ascii="Arial" w:hAnsi="Arial" w:cs="Arial"/>
          <w:b w:val="0"/>
          <w:color w:val="auto"/>
          <w:sz w:val="22"/>
          <w:szCs w:val="22"/>
        </w:rPr>
        <w:t xml:space="preserve">(v </w:t>
      </w:r>
      <w:r w:rsidR="002D0661" w:rsidRPr="002D0661">
        <w:rPr>
          <w:rFonts w:ascii="Arial" w:hAnsi="Arial" w:cs="Arial"/>
          <w:b w:val="0"/>
          <w:color w:val="auto"/>
          <w:sz w:val="22"/>
          <w:szCs w:val="22"/>
        </w:rPr>
        <w:t>mil</w:t>
      </w:r>
      <w:r w:rsidR="00CF0684" w:rsidRPr="002D0661">
        <w:rPr>
          <w:rFonts w:ascii="Arial" w:hAnsi="Arial" w:cs="Arial"/>
          <w:b w:val="0"/>
          <w:color w:val="auto"/>
          <w:sz w:val="22"/>
          <w:szCs w:val="22"/>
        </w:rPr>
        <w:t xml:space="preserve">. </w:t>
      </w:r>
      <w:r w:rsidRPr="002D0661">
        <w:rPr>
          <w:rFonts w:ascii="Arial" w:hAnsi="Arial" w:cs="Arial"/>
          <w:b w:val="0"/>
          <w:color w:val="auto"/>
          <w:sz w:val="22"/>
          <w:szCs w:val="22"/>
        </w:rPr>
        <w:t>Kč)</w:t>
      </w:r>
    </w:p>
    <w:p w:rsidR="00F0011E" w:rsidRPr="0054473A" w:rsidRDefault="00F0011E" w:rsidP="00BB3AA8">
      <w:pPr>
        <w:pStyle w:val="Obrzek-nadpis"/>
        <w:spacing w:before="0" w:after="0"/>
        <w:rPr>
          <w:rFonts w:cs="Arial"/>
          <w:sz w:val="18"/>
          <w:szCs w:val="18"/>
        </w:rPr>
      </w:pPr>
    </w:p>
    <w:tbl>
      <w:tblPr>
        <w:tblW w:w="7229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560"/>
        <w:gridCol w:w="1417"/>
        <w:gridCol w:w="1418"/>
        <w:gridCol w:w="1417"/>
      </w:tblGrid>
      <w:tr w:rsidR="00B05880" w:rsidRPr="00B05880" w:rsidTr="0054473A">
        <w:trPr>
          <w:trHeight w:val="5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B05880" w:rsidRPr="00BB3AA8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BB3AA8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Rozpočtová kapitola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B05880" w:rsidRPr="00B05880" w:rsidRDefault="0054473A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Schválený rozpočet 2018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NNV institucionální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NNV účelové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NNV celkem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ÚV ČR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79.4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194.8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194.8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MZV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25.2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0.0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436.0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174.5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198.5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MPSV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0.0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608.3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326.7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376.8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MŽP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248.4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0.4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GA ČR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4 333.1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177.3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140.0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317.2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MPO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1 684.0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783.3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470.1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1 253.4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0.0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MZe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884.7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30.1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MŠMT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14 345.1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2 214.9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327.7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2 542.6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521.4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290.8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298.4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MZd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1 557.6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253.5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409.5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663.0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AV ČR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5 684.7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60.8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TA ČR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4 279.0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36.3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924.6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960.9</w:t>
            </w:r>
          </w:p>
        </w:tc>
      </w:tr>
      <w:tr w:rsidR="00B05880" w:rsidRPr="00B05880" w:rsidTr="006B31B8">
        <w:trPr>
          <w:trHeight w:val="2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34 796.9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3 832.2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3 064.7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05880" w:rsidRPr="00B05880" w:rsidRDefault="00B05880" w:rsidP="00B058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B058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6 896.9</w:t>
            </w:r>
          </w:p>
        </w:tc>
      </w:tr>
    </w:tbl>
    <w:p w:rsidR="00BB3AA8" w:rsidRPr="00CA6293" w:rsidRDefault="00BB3AA8" w:rsidP="00BB3AA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F0011E" w:rsidRPr="0054473A" w:rsidRDefault="00B05880" w:rsidP="006B31B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4473A">
        <w:rPr>
          <w:rFonts w:ascii="Arial" w:hAnsi="Arial" w:cs="Arial"/>
          <w:b/>
          <w:i/>
          <w:sz w:val="20"/>
          <w:szCs w:val="20"/>
        </w:rPr>
        <w:t>Pozn.</w:t>
      </w:r>
      <w:r w:rsidR="005256D1" w:rsidRPr="0054473A">
        <w:rPr>
          <w:rFonts w:ascii="Arial" w:hAnsi="Arial" w:cs="Arial"/>
          <w:b/>
          <w:i/>
          <w:sz w:val="20"/>
          <w:szCs w:val="20"/>
        </w:rPr>
        <w:t xml:space="preserve"> 1</w:t>
      </w:r>
      <w:r w:rsidRPr="0054473A">
        <w:rPr>
          <w:rFonts w:ascii="Arial" w:hAnsi="Arial" w:cs="Arial"/>
          <w:b/>
          <w:i/>
          <w:sz w:val="20"/>
          <w:szCs w:val="20"/>
        </w:rPr>
        <w:t>:</w:t>
      </w:r>
      <w:r w:rsidRPr="0054473A">
        <w:rPr>
          <w:rFonts w:ascii="Arial" w:hAnsi="Arial" w:cs="Arial"/>
          <w:i/>
          <w:sz w:val="20"/>
          <w:szCs w:val="20"/>
        </w:rPr>
        <w:t xml:space="preserve"> </w:t>
      </w:r>
      <w:r w:rsidR="00CA6293" w:rsidRPr="0054473A">
        <w:rPr>
          <w:rFonts w:ascii="Arial" w:hAnsi="Arial" w:cs="Arial"/>
          <w:i/>
          <w:sz w:val="20"/>
          <w:szCs w:val="20"/>
        </w:rPr>
        <w:t>V</w:t>
      </w:r>
      <w:r w:rsidRPr="0054473A">
        <w:rPr>
          <w:rFonts w:ascii="Arial" w:hAnsi="Arial" w:cs="Arial"/>
          <w:i/>
          <w:sz w:val="20"/>
          <w:szCs w:val="20"/>
        </w:rPr>
        <w:t xml:space="preserve"> tabulce jsou uvedeny NNV pouze z národních zdrojů. Dle Ministerstva financí jsou celkové NNV za podporu VaVaI k </w:t>
      </w:r>
      <w:r w:rsidR="009506D1" w:rsidRPr="0054473A">
        <w:rPr>
          <w:rFonts w:ascii="Arial" w:hAnsi="Arial" w:cs="Arial"/>
          <w:i/>
          <w:sz w:val="20"/>
          <w:szCs w:val="20"/>
        </w:rPr>
        <w:t>1. 1. 2018</w:t>
      </w:r>
      <w:r w:rsidRPr="0054473A">
        <w:rPr>
          <w:rFonts w:ascii="Arial" w:hAnsi="Arial" w:cs="Arial"/>
          <w:i/>
          <w:sz w:val="20"/>
          <w:szCs w:val="20"/>
        </w:rPr>
        <w:t xml:space="preserve"> ve výši 15,87 mld. Kč, z toho však 8,98 mld. Kč představuje EU podíl ESIF a není možné</w:t>
      </w:r>
      <w:r w:rsidR="000D1A60" w:rsidRPr="0054473A">
        <w:rPr>
          <w:rFonts w:ascii="Arial" w:hAnsi="Arial" w:cs="Arial"/>
          <w:i/>
          <w:sz w:val="20"/>
          <w:szCs w:val="20"/>
        </w:rPr>
        <w:t xml:space="preserve"> je</w:t>
      </w:r>
      <w:r w:rsidRPr="0054473A">
        <w:rPr>
          <w:rFonts w:ascii="Arial" w:hAnsi="Arial" w:cs="Arial"/>
          <w:i/>
          <w:sz w:val="20"/>
          <w:szCs w:val="20"/>
        </w:rPr>
        <w:t xml:space="preserve"> použít na jiné účely, než na předfinancování projektů OP VVV a OP PIK</w:t>
      </w:r>
      <w:r w:rsidR="00CA6293" w:rsidRPr="0054473A">
        <w:rPr>
          <w:rFonts w:ascii="Arial" w:hAnsi="Arial" w:cs="Arial"/>
          <w:i/>
          <w:sz w:val="20"/>
          <w:szCs w:val="20"/>
        </w:rPr>
        <w:t>.</w:t>
      </w:r>
    </w:p>
    <w:p w:rsidR="005256D1" w:rsidRPr="0054473A" w:rsidRDefault="005256D1" w:rsidP="005256D1">
      <w:pPr>
        <w:spacing w:after="0" w:line="240" w:lineRule="auto"/>
        <w:jc w:val="both"/>
        <w:rPr>
          <w:rFonts w:ascii="Arial" w:hAnsi="Arial" w:cs="Arial"/>
          <w:i/>
          <w:sz w:val="12"/>
          <w:szCs w:val="12"/>
        </w:rPr>
      </w:pPr>
    </w:p>
    <w:p w:rsidR="005256D1" w:rsidRPr="0054473A" w:rsidRDefault="005256D1" w:rsidP="006B31B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4473A">
        <w:rPr>
          <w:rFonts w:ascii="Arial" w:hAnsi="Arial" w:cs="Arial"/>
          <w:b/>
          <w:i/>
          <w:sz w:val="20"/>
          <w:szCs w:val="20"/>
        </w:rPr>
        <w:t>Pozn. 2:</w:t>
      </w:r>
      <w:r w:rsidRPr="0054473A">
        <w:rPr>
          <w:rFonts w:ascii="Arial" w:hAnsi="Arial" w:cs="Arial"/>
          <w:i/>
          <w:sz w:val="20"/>
          <w:szCs w:val="20"/>
        </w:rPr>
        <w:t xml:space="preserve"> Obecně – NNV nelze použít na jiné účely, než pro jaké byly výdaje schváleny. Účelové NNV představují </w:t>
      </w:r>
      <w:proofErr w:type="spellStart"/>
      <w:r w:rsidRPr="0054473A">
        <w:rPr>
          <w:rFonts w:ascii="Arial" w:hAnsi="Arial" w:cs="Arial"/>
          <w:i/>
          <w:sz w:val="20"/>
          <w:szCs w:val="20"/>
        </w:rPr>
        <w:t>zazávazkované</w:t>
      </w:r>
      <w:proofErr w:type="spellEnd"/>
      <w:r w:rsidRPr="0054473A">
        <w:rPr>
          <w:rFonts w:ascii="Arial" w:hAnsi="Arial" w:cs="Arial"/>
          <w:i/>
          <w:sz w:val="20"/>
          <w:szCs w:val="20"/>
        </w:rPr>
        <w:t xml:space="preserve"> objemy výdajů </w:t>
      </w:r>
      <w:r w:rsidR="00B3760C" w:rsidRPr="0054473A">
        <w:rPr>
          <w:rFonts w:ascii="Arial" w:hAnsi="Arial" w:cs="Arial"/>
          <w:i/>
          <w:sz w:val="20"/>
          <w:szCs w:val="20"/>
        </w:rPr>
        <w:t xml:space="preserve">na konkrétní programy. V rámci jednání byla prověřena aktuální výše </w:t>
      </w:r>
      <w:proofErr w:type="spellStart"/>
      <w:r w:rsidR="00B3760C" w:rsidRPr="0054473A">
        <w:rPr>
          <w:rFonts w:ascii="Arial" w:hAnsi="Arial" w:cs="Arial"/>
          <w:i/>
          <w:sz w:val="20"/>
          <w:szCs w:val="20"/>
        </w:rPr>
        <w:t>zazávazkování</w:t>
      </w:r>
      <w:proofErr w:type="spellEnd"/>
      <w:r w:rsidR="00B3760C" w:rsidRPr="0054473A">
        <w:rPr>
          <w:rFonts w:ascii="Arial" w:hAnsi="Arial" w:cs="Arial"/>
          <w:i/>
          <w:sz w:val="20"/>
          <w:szCs w:val="20"/>
        </w:rPr>
        <w:t xml:space="preserve"> s ohledem na schválené projekty a vyhlášené veřej</w:t>
      </w:r>
      <w:r w:rsidR="00CA6293" w:rsidRPr="0054473A">
        <w:rPr>
          <w:rFonts w:ascii="Arial" w:hAnsi="Arial" w:cs="Arial"/>
          <w:i/>
          <w:sz w:val="20"/>
          <w:szCs w:val="20"/>
        </w:rPr>
        <w:t>né soutěže.</w:t>
      </w:r>
    </w:p>
    <w:p w:rsidR="00BB3AA8" w:rsidRDefault="00BB3AA8" w:rsidP="006B31B8">
      <w:pPr>
        <w:spacing w:after="0" w:line="240" w:lineRule="auto"/>
        <w:jc w:val="both"/>
        <w:rPr>
          <w:rFonts w:ascii="Arial" w:hAnsi="Arial" w:cs="Arial"/>
        </w:rPr>
      </w:pPr>
    </w:p>
    <w:p w:rsidR="005256D1" w:rsidRPr="002D0661" w:rsidRDefault="005256D1" w:rsidP="005256D1">
      <w:pPr>
        <w:spacing w:after="0" w:line="240" w:lineRule="auto"/>
        <w:rPr>
          <w:rFonts w:ascii="Arial" w:hAnsi="Arial" w:cs="Arial"/>
          <w:b/>
        </w:rPr>
      </w:pPr>
      <w:r w:rsidRPr="002D0661">
        <w:rPr>
          <w:rFonts w:ascii="Arial" w:hAnsi="Arial" w:cs="Arial"/>
          <w:b/>
        </w:rPr>
        <w:lastRenderedPageBreak/>
        <w:t>Návrh Rady:</w:t>
      </w:r>
    </w:p>
    <w:p w:rsidR="005256D1" w:rsidRDefault="005256D1" w:rsidP="00CA629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této fázi doporučujeme pro r. 2019 zachovat </w:t>
      </w:r>
      <w:r w:rsidR="0054473A">
        <w:rPr>
          <w:rFonts w:ascii="Arial" w:hAnsi="Arial" w:cs="Arial"/>
        </w:rPr>
        <w:t xml:space="preserve">vládou </w:t>
      </w:r>
      <w:r>
        <w:rPr>
          <w:rFonts w:ascii="Arial" w:hAnsi="Arial" w:cs="Arial"/>
        </w:rPr>
        <w:t>schválený střednědobý výhled</w:t>
      </w:r>
      <w:r w:rsidR="0054473A">
        <w:rPr>
          <w:rFonts w:ascii="Arial" w:hAnsi="Arial" w:cs="Arial"/>
        </w:rPr>
        <w:t xml:space="preserve"> (výchozí návrh Rady schválený </w:t>
      </w:r>
      <w:r w:rsidR="00A42A7B">
        <w:rPr>
          <w:rFonts w:ascii="Arial" w:hAnsi="Arial" w:cs="Arial"/>
        </w:rPr>
        <w:t>na 330. zasedání</w:t>
      </w:r>
      <w:r w:rsidR="0054473A">
        <w:rPr>
          <w:rFonts w:ascii="Arial" w:hAnsi="Arial" w:cs="Arial"/>
        </w:rPr>
        <w:t xml:space="preserve"> Rad</w:t>
      </w:r>
      <w:r w:rsidR="00A42A7B">
        <w:rPr>
          <w:rFonts w:ascii="Arial" w:hAnsi="Arial" w:cs="Arial"/>
        </w:rPr>
        <w:t>y</w:t>
      </w:r>
      <w:r w:rsidR="0054473A">
        <w:rPr>
          <w:rFonts w:ascii="Arial" w:hAnsi="Arial" w:cs="Arial"/>
        </w:rPr>
        <w:t xml:space="preserve"> dne </w:t>
      </w:r>
      <w:r w:rsidR="00A42A7B">
        <w:rPr>
          <w:rFonts w:ascii="Arial" w:hAnsi="Arial" w:cs="Arial"/>
        </w:rPr>
        <w:t>24. 11. 2017)</w:t>
      </w:r>
      <w:r>
        <w:rPr>
          <w:rFonts w:ascii="Arial" w:hAnsi="Arial" w:cs="Arial"/>
        </w:rPr>
        <w:t>, tj. neakceptovat návrhy poskytovatelů na navýšení výdajů.</w:t>
      </w:r>
    </w:p>
    <w:p w:rsidR="005256D1" w:rsidRDefault="005256D1" w:rsidP="006B31B8">
      <w:pPr>
        <w:spacing w:after="0" w:line="240" w:lineRule="auto"/>
        <w:rPr>
          <w:rFonts w:ascii="Arial" w:hAnsi="Arial" w:cs="Arial"/>
          <w:b/>
        </w:rPr>
      </w:pPr>
    </w:p>
    <w:p w:rsidR="006B31B8" w:rsidRPr="002D0661" w:rsidRDefault="00FA792D" w:rsidP="0054473A">
      <w:pPr>
        <w:spacing w:after="120" w:line="240" w:lineRule="auto"/>
        <w:rPr>
          <w:rFonts w:ascii="Arial" w:hAnsi="Arial" w:cs="Arial"/>
          <w:b/>
        </w:rPr>
      </w:pPr>
      <w:r w:rsidRPr="00FA792D">
        <w:rPr>
          <w:rFonts w:ascii="Arial" w:hAnsi="Arial" w:cs="Arial"/>
          <w:b/>
        </w:rPr>
        <w:t>Předběžné závěry z prvních jednání s</w:t>
      </w:r>
      <w:r>
        <w:rPr>
          <w:rFonts w:ascii="Arial" w:hAnsi="Arial" w:cs="Arial"/>
          <w:b/>
        </w:rPr>
        <w:t> </w:t>
      </w:r>
      <w:r w:rsidRPr="00FA792D">
        <w:rPr>
          <w:rFonts w:ascii="Arial" w:hAnsi="Arial" w:cs="Arial"/>
          <w:b/>
        </w:rPr>
        <w:t>poskytovateli</w:t>
      </w:r>
      <w:r>
        <w:rPr>
          <w:rFonts w:ascii="Arial" w:hAnsi="Arial" w:cs="Arial"/>
          <w:b/>
        </w:rPr>
        <w:t>:</w:t>
      </w:r>
    </w:p>
    <w:p w:rsidR="00211F5F" w:rsidRDefault="00211F5F" w:rsidP="0054473A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Helv" w:hAnsi="Helv" w:cs="Helv"/>
          <w:color w:val="000000"/>
        </w:rPr>
      </w:pPr>
      <w:r w:rsidRPr="00FA792D">
        <w:rPr>
          <w:rFonts w:ascii="Helv" w:hAnsi="Helv" w:cs="Helv"/>
          <w:color w:val="000000"/>
        </w:rPr>
        <w:t>Nadpožadavky řešit příp. pouze z</w:t>
      </w:r>
      <w:r w:rsidR="0054473A">
        <w:rPr>
          <w:rFonts w:ascii="Helv" w:hAnsi="Helv" w:cs="Helv"/>
          <w:color w:val="000000"/>
        </w:rPr>
        <w:t xml:space="preserve"> nároků z </w:t>
      </w:r>
      <w:r w:rsidRPr="00FA792D">
        <w:rPr>
          <w:rFonts w:ascii="Helv" w:hAnsi="Helv" w:cs="Helv"/>
          <w:color w:val="000000"/>
        </w:rPr>
        <w:t>nespotřebovaných výdajů</w:t>
      </w:r>
      <w:r w:rsidR="0054473A">
        <w:rPr>
          <w:rFonts w:ascii="Helv" w:hAnsi="Helv" w:cs="Helv"/>
          <w:color w:val="000000"/>
        </w:rPr>
        <w:t xml:space="preserve"> (NNV)</w:t>
      </w:r>
    </w:p>
    <w:p w:rsidR="005256D1" w:rsidRPr="005256D1" w:rsidRDefault="005256D1" w:rsidP="0054473A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Helv" w:hAnsi="Helv" w:cs="Helv"/>
          <w:color w:val="000000"/>
        </w:rPr>
      </w:pPr>
      <w:r w:rsidRPr="005256D1">
        <w:rPr>
          <w:rFonts w:ascii="Helv" w:hAnsi="Helv" w:cs="Helv"/>
          <w:color w:val="000000"/>
        </w:rPr>
        <w:t>Prověřit financování velkých výzkumných infrastruktur a nastav</w:t>
      </w:r>
      <w:r>
        <w:rPr>
          <w:rFonts w:ascii="Helv" w:hAnsi="Helv" w:cs="Helv"/>
          <w:color w:val="000000"/>
        </w:rPr>
        <w:t>it</w:t>
      </w:r>
      <w:r w:rsidRPr="005256D1">
        <w:rPr>
          <w:rFonts w:ascii="Helv" w:hAnsi="Helv" w:cs="Helv"/>
          <w:color w:val="000000"/>
        </w:rPr>
        <w:t xml:space="preserve"> </w:t>
      </w:r>
      <w:r w:rsidR="0054473A">
        <w:rPr>
          <w:rFonts w:ascii="Helv" w:hAnsi="Helv" w:cs="Helv"/>
          <w:color w:val="000000"/>
        </w:rPr>
        <w:t>maximální výši</w:t>
      </w:r>
      <w:r w:rsidRPr="005256D1">
        <w:rPr>
          <w:rFonts w:ascii="Helv" w:hAnsi="Helv" w:cs="Helv"/>
          <w:color w:val="000000"/>
        </w:rPr>
        <w:t xml:space="preserve"> jejich financování</w:t>
      </w:r>
      <w:r w:rsidR="00CA6293">
        <w:rPr>
          <w:rFonts w:ascii="Helv" w:hAnsi="Helv" w:cs="Helv"/>
          <w:color w:val="000000"/>
        </w:rPr>
        <w:t>.</w:t>
      </w:r>
    </w:p>
    <w:p w:rsidR="005256D1" w:rsidRDefault="005256D1" w:rsidP="003B4EDE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Helv" w:hAnsi="Helv" w:cs="Helv"/>
          <w:color w:val="000000"/>
        </w:rPr>
      </w:pPr>
      <w:r w:rsidRPr="005256D1">
        <w:rPr>
          <w:rFonts w:ascii="Helv" w:hAnsi="Helv" w:cs="Helv"/>
          <w:color w:val="000000"/>
        </w:rPr>
        <w:t>Zrevidovat poplatky za mezinárodní spolupráci (MŠMT)</w:t>
      </w:r>
      <w:r w:rsidR="00B3760C">
        <w:rPr>
          <w:rFonts w:ascii="Helv" w:hAnsi="Helv" w:cs="Helv"/>
          <w:color w:val="000000"/>
        </w:rPr>
        <w:t>.</w:t>
      </w:r>
    </w:p>
    <w:p w:rsidR="00FA792D" w:rsidRPr="00FA792D" w:rsidRDefault="00FA792D" w:rsidP="003B4EDE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contextualSpacing w:val="0"/>
        <w:rPr>
          <w:rFonts w:ascii="Helv" w:hAnsi="Helv" w:cs="Helv"/>
          <w:color w:val="000000"/>
        </w:rPr>
      </w:pPr>
      <w:r w:rsidRPr="00FA792D">
        <w:rPr>
          <w:rFonts w:ascii="Helv" w:hAnsi="Helv" w:cs="Helv"/>
          <w:color w:val="000000"/>
        </w:rPr>
        <w:t>Vyjasnit úlohu TAČR vůči dalším poskytovatelům účelové podpory</w:t>
      </w:r>
    </w:p>
    <w:p w:rsidR="005256D1" w:rsidRPr="005256D1" w:rsidRDefault="00211F5F" w:rsidP="0054473A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Helv" w:hAnsi="Helv" w:cs="Helv"/>
          <w:color w:val="000000"/>
        </w:rPr>
      </w:pPr>
      <w:r>
        <w:rPr>
          <w:rFonts w:ascii="Arial" w:hAnsi="Arial" w:cs="Arial"/>
        </w:rPr>
        <w:t>V</w:t>
      </w:r>
      <w:r w:rsidR="00EA3EFB">
        <w:rPr>
          <w:rFonts w:ascii="Arial" w:hAnsi="Arial" w:cs="Arial"/>
        </w:rPr>
        <w:t>yjasnit vztah programů účelové podpory MPO (navrhovaný program TREND) k programům účelové podpory TA ČR,</w:t>
      </w:r>
      <w:r w:rsidR="00EA3EFB" w:rsidRPr="005256D1">
        <w:rPr>
          <w:rFonts w:ascii="Helv" w:hAnsi="Helv" w:cs="Helv"/>
          <w:color w:val="000000"/>
        </w:rPr>
        <w:t xml:space="preserve"> </w:t>
      </w:r>
      <w:r w:rsidR="005256D1" w:rsidRPr="005256D1">
        <w:rPr>
          <w:rFonts w:ascii="Helv" w:hAnsi="Helv" w:cs="Helv"/>
          <w:color w:val="000000"/>
        </w:rPr>
        <w:t>řeši</w:t>
      </w:r>
      <w:r w:rsidR="00EA3EFB">
        <w:rPr>
          <w:rFonts w:ascii="Helv" w:hAnsi="Helv" w:cs="Helv"/>
          <w:color w:val="000000"/>
        </w:rPr>
        <w:t>t případné duplicity</w:t>
      </w:r>
    </w:p>
    <w:p w:rsidR="00EA3EFB" w:rsidRPr="005256D1" w:rsidRDefault="00B3760C" w:rsidP="0054473A">
      <w:pPr>
        <w:pStyle w:val="Odstavecseseznamem"/>
        <w:numPr>
          <w:ilvl w:val="0"/>
          <w:numId w:val="35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Helv" w:hAnsi="Helv" w:cs="Helv"/>
          <w:color w:val="000000"/>
        </w:rPr>
        <w:t xml:space="preserve">Dořešit </w:t>
      </w:r>
      <w:r w:rsidR="005256D1" w:rsidRPr="005256D1">
        <w:rPr>
          <w:rFonts w:ascii="Helv" w:hAnsi="Helv" w:cs="Helv"/>
          <w:color w:val="000000"/>
        </w:rPr>
        <w:t xml:space="preserve">financování </w:t>
      </w:r>
      <w:proofErr w:type="spellStart"/>
      <w:r w:rsidR="005256D1" w:rsidRPr="005256D1">
        <w:rPr>
          <w:rFonts w:ascii="Helv" w:hAnsi="Helv" w:cs="Helv"/>
          <w:color w:val="000000"/>
        </w:rPr>
        <w:t>MZd</w:t>
      </w:r>
      <w:proofErr w:type="spellEnd"/>
      <w:r w:rsidR="005256D1" w:rsidRPr="005256D1">
        <w:rPr>
          <w:rFonts w:ascii="Helv" w:hAnsi="Helv" w:cs="Helv"/>
          <w:color w:val="000000"/>
        </w:rPr>
        <w:t xml:space="preserve"> a zapojení NNV vs. zvýšení jejich rozpočtu</w:t>
      </w:r>
      <w:r w:rsidR="00EA3EFB">
        <w:rPr>
          <w:rFonts w:ascii="Helv" w:hAnsi="Helv" w:cs="Helv"/>
          <w:color w:val="000000"/>
        </w:rPr>
        <w:t xml:space="preserve"> (p</w:t>
      </w:r>
      <w:r w:rsidR="00EA3EFB" w:rsidRPr="005256D1">
        <w:rPr>
          <w:rFonts w:ascii="Arial" w:hAnsi="Arial" w:cs="Arial"/>
        </w:rPr>
        <w:t xml:space="preserve">ouze v případě </w:t>
      </w:r>
      <w:proofErr w:type="spellStart"/>
      <w:r w:rsidR="00EA3EFB" w:rsidRPr="005256D1">
        <w:rPr>
          <w:rFonts w:ascii="Arial" w:hAnsi="Arial" w:cs="Arial"/>
        </w:rPr>
        <w:t>MZd</w:t>
      </w:r>
      <w:proofErr w:type="spellEnd"/>
      <w:r w:rsidR="00EA3EFB" w:rsidRPr="005256D1">
        <w:rPr>
          <w:rFonts w:ascii="Arial" w:hAnsi="Arial" w:cs="Arial"/>
        </w:rPr>
        <w:t xml:space="preserve"> je možné řešit požadavek na navýšení finančních prostředků v institucionální podpoře a</w:t>
      </w:r>
      <w:r w:rsidR="0041119A">
        <w:rPr>
          <w:rFonts w:ascii="Arial" w:hAnsi="Arial" w:cs="Arial"/>
        </w:rPr>
        <w:t> </w:t>
      </w:r>
      <w:r w:rsidR="00EA3EFB" w:rsidRPr="005256D1">
        <w:rPr>
          <w:rFonts w:ascii="Arial" w:hAnsi="Arial" w:cs="Arial"/>
        </w:rPr>
        <w:t>části prostředků účelové podpory nad rámec střednědobého výhledu zapojením NNV</w:t>
      </w:r>
      <w:r w:rsidR="00EA3EFB">
        <w:rPr>
          <w:rFonts w:ascii="Arial" w:hAnsi="Arial" w:cs="Arial"/>
        </w:rPr>
        <w:t>)</w:t>
      </w:r>
      <w:r w:rsidR="00EA3EFB" w:rsidRPr="005256D1">
        <w:rPr>
          <w:rFonts w:ascii="Arial" w:hAnsi="Arial" w:cs="Arial"/>
        </w:rPr>
        <w:t>.</w:t>
      </w:r>
    </w:p>
    <w:p w:rsidR="00FA792D" w:rsidRPr="00211F5F" w:rsidRDefault="00FA792D" w:rsidP="0054473A">
      <w:pPr>
        <w:pStyle w:val="Odstavecseseznamem"/>
        <w:numPr>
          <w:ilvl w:val="0"/>
          <w:numId w:val="35"/>
        </w:numPr>
        <w:spacing w:after="120" w:line="240" w:lineRule="auto"/>
        <w:contextualSpacing w:val="0"/>
        <w:jc w:val="both"/>
        <w:rPr>
          <w:rFonts w:ascii="Helv" w:hAnsi="Helv" w:cs="Helv"/>
          <w:color w:val="000000"/>
        </w:rPr>
      </w:pPr>
      <w:r w:rsidRPr="00FA792D">
        <w:rPr>
          <w:rFonts w:ascii="Helv" w:hAnsi="Helv" w:cs="Helv"/>
          <w:color w:val="000000"/>
        </w:rPr>
        <w:t>Rozpočtově motiv</w:t>
      </w:r>
      <w:r w:rsidR="00A86DDE">
        <w:rPr>
          <w:rFonts w:ascii="Helv" w:hAnsi="Helv" w:cs="Helv"/>
          <w:color w:val="000000"/>
        </w:rPr>
        <w:t>ovat změnu v řízení l</w:t>
      </w:r>
      <w:r w:rsidRPr="00FA792D">
        <w:rPr>
          <w:rFonts w:ascii="Helv" w:hAnsi="Helv" w:cs="Helv"/>
          <w:color w:val="000000"/>
        </w:rPr>
        <w:t xml:space="preserve">idských zdrojů ve </w:t>
      </w:r>
      <w:proofErr w:type="spellStart"/>
      <w:r w:rsidRPr="00FA792D">
        <w:rPr>
          <w:rFonts w:ascii="Helv" w:hAnsi="Helv" w:cs="Helv"/>
          <w:color w:val="000000"/>
        </w:rPr>
        <w:t>VaVaI</w:t>
      </w:r>
      <w:proofErr w:type="spellEnd"/>
      <w:r w:rsidR="00A86DDE">
        <w:rPr>
          <w:rFonts w:ascii="Helv" w:hAnsi="Helv" w:cs="Helv"/>
          <w:color w:val="000000"/>
        </w:rPr>
        <w:t xml:space="preserve"> </w:t>
      </w:r>
      <w:r w:rsidR="0054473A">
        <w:rPr>
          <w:rFonts w:ascii="Helv" w:hAnsi="Helv" w:cs="Helv"/>
          <w:color w:val="000000"/>
        </w:rPr>
        <w:t xml:space="preserve">zejména </w:t>
      </w:r>
      <w:r w:rsidR="00A86DDE">
        <w:rPr>
          <w:rFonts w:ascii="Helv" w:hAnsi="Helv" w:cs="Helv"/>
          <w:color w:val="000000"/>
        </w:rPr>
        <w:t>směrem k podpoře mladých vědců</w:t>
      </w:r>
    </w:p>
    <w:p w:rsidR="00FA792D" w:rsidRDefault="00FA792D" w:rsidP="0054473A">
      <w:pPr>
        <w:pStyle w:val="Odstavecseseznamem"/>
        <w:numPr>
          <w:ilvl w:val="0"/>
          <w:numId w:val="35"/>
        </w:numPr>
        <w:spacing w:after="120" w:line="240" w:lineRule="auto"/>
        <w:contextualSpacing w:val="0"/>
        <w:jc w:val="both"/>
        <w:rPr>
          <w:rFonts w:ascii="Helv" w:hAnsi="Helv" w:cs="Helv"/>
          <w:color w:val="000000"/>
        </w:rPr>
      </w:pPr>
      <w:r w:rsidRPr="00FA792D">
        <w:rPr>
          <w:rFonts w:ascii="Helv" w:hAnsi="Helv" w:cs="Helv"/>
          <w:color w:val="000000"/>
        </w:rPr>
        <w:t xml:space="preserve">Všichni poskytovatelé předloží systém vyhodnocování výzkumných výsledků </w:t>
      </w:r>
    </w:p>
    <w:p w:rsidR="00211F5F" w:rsidRPr="0054473A" w:rsidRDefault="00211F5F" w:rsidP="0054473A">
      <w:pPr>
        <w:spacing w:after="0" w:line="240" w:lineRule="auto"/>
        <w:ind w:left="357"/>
        <w:jc w:val="both"/>
        <w:rPr>
          <w:rFonts w:ascii="Helv" w:hAnsi="Helv" w:cs="Helv"/>
          <w:color w:val="000000"/>
          <w:sz w:val="16"/>
          <w:szCs w:val="16"/>
        </w:rPr>
      </w:pPr>
    </w:p>
    <w:p w:rsidR="00FA792D" w:rsidRPr="00FA792D" w:rsidRDefault="00FA792D" w:rsidP="0054473A">
      <w:pPr>
        <w:spacing w:after="120" w:line="240" w:lineRule="auto"/>
        <w:rPr>
          <w:rFonts w:ascii="Arial" w:hAnsi="Arial" w:cs="Arial"/>
          <w:b/>
        </w:rPr>
      </w:pPr>
      <w:r w:rsidRPr="00FA792D">
        <w:rPr>
          <w:rFonts w:ascii="Arial" w:hAnsi="Arial" w:cs="Arial"/>
          <w:b/>
        </w:rPr>
        <w:t>Další kroky:</w:t>
      </w:r>
    </w:p>
    <w:p w:rsidR="00FA792D" w:rsidRPr="00FA792D" w:rsidRDefault="00FA792D" w:rsidP="0054473A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Helv" w:hAnsi="Helv" w:cs="Helv"/>
          <w:color w:val="000000"/>
        </w:rPr>
      </w:pPr>
      <w:r w:rsidRPr="00FA792D">
        <w:rPr>
          <w:rFonts w:ascii="Helv" w:hAnsi="Helv" w:cs="Helv"/>
          <w:color w:val="000000"/>
        </w:rPr>
        <w:t xml:space="preserve">S vybranými poskytovateli proběhne další kolo jednání, kde poskytovatelé připraví návrhy plynoucí ze závěrů prvních jednání </w:t>
      </w:r>
    </w:p>
    <w:p w:rsidR="00FA792D" w:rsidRPr="00FA792D" w:rsidRDefault="00FA792D" w:rsidP="0054473A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Helv" w:hAnsi="Helv" w:cs="Helv"/>
          <w:color w:val="000000"/>
        </w:rPr>
      </w:pPr>
      <w:r w:rsidRPr="00FA792D">
        <w:rPr>
          <w:rFonts w:ascii="Helv" w:hAnsi="Helv" w:cs="Helv"/>
          <w:color w:val="000000"/>
        </w:rPr>
        <w:t>RVVI navrhne změny a vyčíslí jejich dopad do s</w:t>
      </w:r>
      <w:bookmarkStart w:id="0" w:name="_GoBack"/>
      <w:bookmarkEnd w:id="0"/>
      <w:r w:rsidRPr="00FA792D">
        <w:rPr>
          <w:rFonts w:ascii="Helv" w:hAnsi="Helv" w:cs="Helv"/>
          <w:color w:val="000000"/>
        </w:rPr>
        <w:t>truktury rozpočtu</w:t>
      </w:r>
    </w:p>
    <w:p w:rsidR="00FA792D" w:rsidRDefault="00FA792D" w:rsidP="0054473A">
      <w:pPr>
        <w:spacing w:after="120" w:line="240" w:lineRule="auto"/>
        <w:jc w:val="both"/>
        <w:rPr>
          <w:rFonts w:ascii="Helv" w:hAnsi="Helv" w:cs="Helv"/>
          <w:color w:val="000000"/>
        </w:rPr>
      </w:pPr>
    </w:p>
    <w:sectPr w:rsidR="00FA792D" w:rsidSect="00315EF6">
      <w:pgSz w:w="11906" w:h="16838"/>
      <w:pgMar w:top="1134" w:right="1134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2A1" w:rsidRDefault="00E002A1" w:rsidP="004D577B">
      <w:pPr>
        <w:spacing w:after="0" w:line="240" w:lineRule="auto"/>
      </w:pPr>
      <w:r>
        <w:separator/>
      </w:r>
    </w:p>
  </w:endnote>
  <w:endnote w:type="continuationSeparator" w:id="0">
    <w:p w:rsidR="00E002A1" w:rsidRDefault="00E002A1" w:rsidP="004D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2A1" w:rsidRDefault="00E002A1" w:rsidP="004D577B">
      <w:pPr>
        <w:spacing w:after="0" w:line="240" w:lineRule="auto"/>
      </w:pPr>
      <w:r>
        <w:separator/>
      </w:r>
    </w:p>
  </w:footnote>
  <w:footnote w:type="continuationSeparator" w:id="0">
    <w:p w:rsidR="00E002A1" w:rsidRDefault="00E002A1" w:rsidP="004D5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7E06"/>
    <w:multiLevelType w:val="multilevel"/>
    <w:tmpl w:val="F1FE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FB2ED1"/>
    <w:multiLevelType w:val="hybridMultilevel"/>
    <w:tmpl w:val="0EF66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3A2EC6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D172A"/>
    <w:multiLevelType w:val="hybridMultilevel"/>
    <w:tmpl w:val="C3E84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5644F"/>
    <w:multiLevelType w:val="hybridMultilevel"/>
    <w:tmpl w:val="CB680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4714D"/>
    <w:multiLevelType w:val="hybridMultilevel"/>
    <w:tmpl w:val="C71C1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12AFB"/>
    <w:multiLevelType w:val="hybridMultilevel"/>
    <w:tmpl w:val="E9564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E389C"/>
    <w:multiLevelType w:val="hybridMultilevel"/>
    <w:tmpl w:val="45089A42"/>
    <w:lvl w:ilvl="0" w:tplc="16CE597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6502C"/>
    <w:multiLevelType w:val="hybridMultilevel"/>
    <w:tmpl w:val="3DBA90D6"/>
    <w:lvl w:ilvl="0" w:tplc="FAD2004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AB43C6"/>
    <w:multiLevelType w:val="hybridMultilevel"/>
    <w:tmpl w:val="A7527E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F61614"/>
    <w:multiLevelType w:val="hybridMultilevel"/>
    <w:tmpl w:val="693A7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0E68D5"/>
    <w:multiLevelType w:val="hybridMultilevel"/>
    <w:tmpl w:val="A7A048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1079F"/>
    <w:multiLevelType w:val="hybridMultilevel"/>
    <w:tmpl w:val="3D0E9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6802F5"/>
    <w:multiLevelType w:val="hybridMultilevel"/>
    <w:tmpl w:val="4F1C5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B5337"/>
    <w:multiLevelType w:val="hybridMultilevel"/>
    <w:tmpl w:val="56E86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7088A"/>
    <w:multiLevelType w:val="hybridMultilevel"/>
    <w:tmpl w:val="79EA6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4F0AE9"/>
    <w:multiLevelType w:val="hybridMultilevel"/>
    <w:tmpl w:val="72989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A4124F"/>
    <w:multiLevelType w:val="hybridMultilevel"/>
    <w:tmpl w:val="2DEE7D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B64040"/>
    <w:multiLevelType w:val="hybridMultilevel"/>
    <w:tmpl w:val="CA6AB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BC6056"/>
    <w:multiLevelType w:val="hybridMultilevel"/>
    <w:tmpl w:val="FE406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41334"/>
    <w:multiLevelType w:val="hybridMultilevel"/>
    <w:tmpl w:val="AB9AE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22F5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>
    <w:nsid w:val="56820F10"/>
    <w:multiLevelType w:val="hybridMultilevel"/>
    <w:tmpl w:val="2AA8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433001"/>
    <w:multiLevelType w:val="hybridMultilevel"/>
    <w:tmpl w:val="A7142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DB4DB2"/>
    <w:multiLevelType w:val="hybridMultilevel"/>
    <w:tmpl w:val="D2C68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964EA4"/>
    <w:multiLevelType w:val="multilevel"/>
    <w:tmpl w:val="7BF86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A811E8F"/>
    <w:multiLevelType w:val="hybridMultilevel"/>
    <w:tmpl w:val="E312B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F2330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3C6393C"/>
    <w:multiLevelType w:val="hybridMultilevel"/>
    <w:tmpl w:val="E16ED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FB67FB"/>
    <w:multiLevelType w:val="hybridMultilevel"/>
    <w:tmpl w:val="A2AC4D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B12488"/>
    <w:multiLevelType w:val="hybridMultilevel"/>
    <w:tmpl w:val="AC96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051860"/>
    <w:multiLevelType w:val="hybridMultilevel"/>
    <w:tmpl w:val="7B362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D62F61"/>
    <w:multiLevelType w:val="hybridMultilevel"/>
    <w:tmpl w:val="6E26274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F000A58"/>
    <w:multiLevelType w:val="hybridMultilevel"/>
    <w:tmpl w:val="ACC80A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1"/>
  </w:num>
  <w:num w:numId="4">
    <w:abstractNumId w:val="24"/>
  </w:num>
  <w:num w:numId="5">
    <w:abstractNumId w:val="27"/>
  </w:num>
  <w:num w:numId="6">
    <w:abstractNumId w:val="5"/>
  </w:num>
  <w:num w:numId="7">
    <w:abstractNumId w:val="27"/>
  </w:num>
  <w:num w:numId="8">
    <w:abstractNumId w:val="13"/>
  </w:num>
  <w:num w:numId="9">
    <w:abstractNumId w:val="28"/>
  </w:num>
  <w:num w:numId="10">
    <w:abstractNumId w:val="3"/>
  </w:num>
  <w:num w:numId="11">
    <w:abstractNumId w:val="18"/>
  </w:num>
  <w:num w:numId="12">
    <w:abstractNumId w:val="8"/>
  </w:num>
  <w:num w:numId="13">
    <w:abstractNumId w:val="30"/>
  </w:num>
  <w:num w:numId="14">
    <w:abstractNumId w:val="14"/>
  </w:num>
  <w:num w:numId="15">
    <w:abstractNumId w:val="19"/>
  </w:num>
  <w:num w:numId="16">
    <w:abstractNumId w:val="20"/>
  </w:num>
  <w:num w:numId="17">
    <w:abstractNumId w:val="12"/>
  </w:num>
  <w:num w:numId="18">
    <w:abstractNumId w:val="11"/>
  </w:num>
  <w:num w:numId="19">
    <w:abstractNumId w:val="26"/>
  </w:num>
  <w:num w:numId="20">
    <w:abstractNumId w:val="20"/>
  </w:num>
  <w:num w:numId="21">
    <w:abstractNumId w:val="1"/>
  </w:num>
  <w:num w:numId="22">
    <w:abstractNumId w:val="32"/>
  </w:num>
  <w:num w:numId="23">
    <w:abstractNumId w:val="22"/>
  </w:num>
  <w:num w:numId="24">
    <w:abstractNumId w:val="16"/>
  </w:num>
  <w:num w:numId="25">
    <w:abstractNumId w:val="17"/>
  </w:num>
  <w:num w:numId="26">
    <w:abstractNumId w:val="4"/>
  </w:num>
  <w:num w:numId="27">
    <w:abstractNumId w:val="29"/>
  </w:num>
  <w:num w:numId="28">
    <w:abstractNumId w:val="25"/>
  </w:num>
  <w:num w:numId="29">
    <w:abstractNumId w:val="20"/>
  </w:num>
  <w:num w:numId="30">
    <w:abstractNumId w:val="20"/>
  </w:num>
  <w:num w:numId="31">
    <w:abstractNumId w:val="20"/>
  </w:num>
  <w:num w:numId="32">
    <w:abstractNumId w:val="21"/>
  </w:num>
  <w:num w:numId="33">
    <w:abstractNumId w:val="10"/>
  </w:num>
  <w:num w:numId="34">
    <w:abstractNumId w:val="0"/>
  </w:num>
  <w:num w:numId="35">
    <w:abstractNumId w:val="15"/>
  </w:num>
  <w:num w:numId="36">
    <w:abstractNumId w:val="23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A5"/>
    <w:rsid w:val="000258FB"/>
    <w:rsid w:val="00032CAD"/>
    <w:rsid w:val="00036A17"/>
    <w:rsid w:val="000449D4"/>
    <w:rsid w:val="0006328B"/>
    <w:rsid w:val="0007260B"/>
    <w:rsid w:val="00082883"/>
    <w:rsid w:val="000955F8"/>
    <w:rsid w:val="00095B28"/>
    <w:rsid w:val="000A1DAC"/>
    <w:rsid w:val="000D1A60"/>
    <w:rsid w:val="000E5820"/>
    <w:rsid w:val="000F01CC"/>
    <w:rsid w:val="00110689"/>
    <w:rsid w:val="001143C6"/>
    <w:rsid w:val="00120CB9"/>
    <w:rsid w:val="00130A59"/>
    <w:rsid w:val="00147620"/>
    <w:rsid w:val="00175EBC"/>
    <w:rsid w:val="00182132"/>
    <w:rsid w:val="0018589E"/>
    <w:rsid w:val="001A5BC9"/>
    <w:rsid w:val="001B6E3B"/>
    <w:rsid w:val="001C3C2A"/>
    <w:rsid w:val="001D7AFB"/>
    <w:rsid w:val="001D7B3D"/>
    <w:rsid w:val="001E7FE5"/>
    <w:rsid w:val="00211F5F"/>
    <w:rsid w:val="00214753"/>
    <w:rsid w:val="002174C9"/>
    <w:rsid w:val="00243B9A"/>
    <w:rsid w:val="00245430"/>
    <w:rsid w:val="00253BF4"/>
    <w:rsid w:val="0026305F"/>
    <w:rsid w:val="00266220"/>
    <w:rsid w:val="00276936"/>
    <w:rsid w:val="002B0938"/>
    <w:rsid w:val="002B2170"/>
    <w:rsid w:val="002B7CA6"/>
    <w:rsid w:val="002C3090"/>
    <w:rsid w:val="002C4C6C"/>
    <w:rsid w:val="002D0661"/>
    <w:rsid w:val="0030381A"/>
    <w:rsid w:val="00315EF6"/>
    <w:rsid w:val="00333F9E"/>
    <w:rsid w:val="00354D03"/>
    <w:rsid w:val="00360D34"/>
    <w:rsid w:val="00376B2C"/>
    <w:rsid w:val="00376D79"/>
    <w:rsid w:val="00385CEC"/>
    <w:rsid w:val="0039486D"/>
    <w:rsid w:val="003B4EDE"/>
    <w:rsid w:val="003B71E7"/>
    <w:rsid w:val="003C4F26"/>
    <w:rsid w:val="003D1CEF"/>
    <w:rsid w:val="003E49A6"/>
    <w:rsid w:val="003F0874"/>
    <w:rsid w:val="0041119A"/>
    <w:rsid w:val="00447AF2"/>
    <w:rsid w:val="00462E61"/>
    <w:rsid w:val="00481BDC"/>
    <w:rsid w:val="0048603A"/>
    <w:rsid w:val="00496A5A"/>
    <w:rsid w:val="004D577B"/>
    <w:rsid w:val="004E441A"/>
    <w:rsid w:val="004F2D4C"/>
    <w:rsid w:val="005256D1"/>
    <w:rsid w:val="00535609"/>
    <w:rsid w:val="0054473A"/>
    <w:rsid w:val="00552388"/>
    <w:rsid w:val="0057389E"/>
    <w:rsid w:val="00573C98"/>
    <w:rsid w:val="00576D2D"/>
    <w:rsid w:val="00592166"/>
    <w:rsid w:val="005A3601"/>
    <w:rsid w:val="005A59DC"/>
    <w:rsid w:val="005B1DA0"/>
    <w:rsid w:val="005B5D32"/>
    <w:rsid w:val="005E60C2"/>
    <w:rsid w:val="00601225"/>
    <w:rsid w:val="00602093"/>
    <w:rsid w:val="00602528"/>
    <w:rsid w:val="00626A86"/>
    <w:rsid w:val="006521B3"/>
    <w:rsid w:val="00656142"/>
    <w:rsid w:val="006A74A2"/>
    <w:rsid w:val="006B31B8"/>
    <w:rsid w:val="006C7BD8"/>
    <w:rsid w:val="006F2DFC"/>
    <w:rsid w:val="00700DEC"/>
    <w:rsid w:val="00705E78"/>
    <w:rsid w:val="00713525"/>
    <w:rsid w:val="00715FE4"/>
    <w:rsid w:val="00736FF8"/>
    <w:rsid w:val="007B3D89"/>
    <w:rsid w:val="00812FA5"/>
    <w:rsid w:val="008141C2"/>
    <w:rsid w:val="0082039D"/>
    <w:rsid w:val="008209FC"/>
    <w:rsid w:val="008264FE"/>
    <w:rsid w:val="0084506D"/>
    <w:rsid w:val="00845694"/>
    <w:rsid w:val="00854209"/>
    <w:rsid w:val="00886F68"/>
    <w:rsid w:val="00897F28"/>
    <w:rsid w:val="008A5861"/>
    <w:rsid w:val="008D0867"/>
    <w:rsid w:val="00937C2B"/>
    <w:rsid w:val="0094547C"/>
    <w:rsid w:val="0094773E"/>
    <w:rsid w:val="009506D1"/>
    <w:rsid w:val="009532B7"/>
    <w:rsid w:val="00963672"/>
    <w:rsid w:val="009713BA"/>
    <w:rsid w:val="00990F36"/>
    <w:rsid w:val="00994B67"/>
    <w:rsid w:val="009B530C"/>
    <w:rsid w:val="009C1A94"/>
    <w:rsid w:val="009C7CB3"/>
    <w:rsid w:val="009F5654"/>
    <w:rsid w:val="00A04F1A"/>
    <w:rsid w:val="00A072A5"/>
    <w:rsid w:val="00A12024"/>
    <w:rsid w:val="00A20F5B"/>
    <w:rsid w:val="00A216D7"/>
    <w:rsid w:val="00A34103"/>
    <w:rsid w:val="00A42A7B"/>
    <w:rsid w:val="00A62487"/>
    <w:rsid w:val="00A633C9"/>
    <w:rsid w:val="00A86BCB"/>
    <w:rsid w:val="00A86DDE"/>
    <w:rsid w:val="00B05880"/>
    <w:rsid w:val="00B10E60"/>
    <w:rsid w:val="00B17BB4"/>
    <w:rsid w:val="00B3760C"/>
    <w:rsid w:val="00B408F3"/>
    <w:rsid w:val="00B42987"/>
    <w:rsid w:val="00B5352F"/>
    <w:rsid w:val="00B711AB"/>
    <w:rsid w:val="00B74561"/>
    <w:rsid w:val="00B9584F"/>
    <w:rsid w:val="00BB0DB9"/>
    <w:rsid w:val="00BB3AA8"/>
    <w:rsid w:val="00BC2054"/>
    <w:rsid w:val="00BF03D7"/>
    <w:rsid w:val="00BF2E76"/>
    <w:rsid w:val="00C31D74"/>
    <w:rsid w:val="00C46455"/>
    <w:rsid w:val="00C61C13"/>
    <w:rsid w:val="00C72E45"/>
    <w:rsid w:val="00CA6293"/>
    <w:rsid w:val="00CB05E0"/>
    <w:rsid w:val="00CB15C4"/>
    <w:rsid w:val="00CC1498"/>
    <w:rsid w:val="00CC7DDA"/>
    <w:rsid w:val="00CD64DC"/>
    <w:rsid w:val="00CD6E5C"/>
    <w:rsid w:val="00CF05E5"/>
    <w:rsid w:val="00CF0684"/>
    <w:rsid w:val="00CF3E42"/>
    <w:rsid w:val="00D024A5"/>
    <w:rsid w:val="00D171E6"/>
    <w:rsid w:val="00D25E50"/>
    <w:rsid w:val="00D41FCF"/>
    <w:rsid w:val="00D763B5"/>
    <w:rsid w:val="00D81FB2"/>
    <w:rsid w:val="00D85900"/>
    <w:rsid w:val="00D9044B"/>
    <w:rsid w:val="00DB176A"/>
    <w:rsid w:val="00DB34E1"/>
    <w:rsid w:val="00DD1A7E"/>
    <w:rsid w:val="00DF7D9C"/>
    <w:rsid w:val="00E002A1"/>
    <w:rsid w:val="00E05149"/>
    <w:rsid w:val="00E05B89"/>
    <w:rsid w:val="00E05FE9"/>
    <w:rsid w:val="00E064FD"/>
    <w:rsid w:val="00E2203A"/>
    <w:rsid w:val="00E23CEF"/>
    <w:rsid w:val="00E2441C"/>
    <w:rsid w:val="00E27042"/>
    <w:rsid w:val="00E37DD5"/>
    <w:rsid w:val="00E62480"/>
    <w:rsid w:val="00E8727D"/>
    <w:rsid w:val="00EA3EFB"/>
    <w:rsid w:val="00EA3FB3"/>
    <w:rsid w:val="00EC28FB"/>
    <w:rsid w:val="00F0011E"/>
    <w:rsid w:val="00F46B7C"/>
    <w:rsid w:val="00F50828"/>
    <w:rsid w:val="00F57EFF"/>
    <w:rsid w:val="00F712D4"/>
    <w:rsid w:val="00F76F5E"/>
    <w:rsid w:val="00F81095"/>
    <w:rsid w:val="00F94065"/>
    <w:rsid w:val="00FA1845"/>
    <w:rsid w:val="00FA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0689"/>
  </w:style>
  <w:style w:type="paragraph" w:styleId="Nadpis1">
    <w:name w:val="heading 1"/>
    <w:basedOn w:val="Normln"/>
    <w:next w:val="Normln"/>
    <w:link w:val="Nadpis1Char"/>
    <w:uiPriority w:val="9"/>
    <w:qFormat/>
    <w:rsid w:val="00A62487"/>
    <w:pPr>
      <w:keepNext/>
      <w:keepLines/>
      <w:numPr>
        <w:numId w:val="1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2487"/>
    <w:pPr>
      <w:keepNext/>
      <w:keepLines/>
      <w:numPr>
        <w:ilvl w:val="1"/>
        <w:numId w:val="1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62487"/>
    <w:pPr>
      <w:keepNext/>
      <w:keepLines/>
      <w:numPr>
        <w:ilvl w:val="2"/>
        <w:numId w:val="1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62487"/>
    <w:pPr>
      <w:keepNext/>
      <w:keepLines/>
      <w:numPr>
        <w:ilvl w:val="3"/>
        <w:numId w:val="1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62487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487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2487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62487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62487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072A5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A072A5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4298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D5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577B"/>
  </w:style>
  <w:style w:type="paragraph" w:styleId="Zpat">
    <w:name w:val="footer"/>
    <w:basedOn w:val="Normln"/>
    <w:link w:val="ZpatChar"/>
    <w:uiPriority w:val="99"/>
    <w:unhideWhenUsed/>
    <w:rsid w:val="004D5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577B"/>
  </w:style>
  <w:style w:type="paragraph" w:styleId="Textbubliny">
    <w:name w:val="Balloon Text"/>
    <w:basedOn w:val="Normln"/>
    <w:link w:val="TextbublinyChar"/>
    <w:uiPriority w:val="99"/>
    <w:semiHidden/>
    <w:unhideWhenUsed/>
    <w:rsid w:val="00E0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5B89"/>
    <w:rPr>
      <w:rFonts w:ascii="Tahoma" w:hAnsi="Tahoma" w:cs="Tahoma"/>
      <w:sz w:val="16"/>
      <w:szCs w:val="16"/>
    </w:rPr>
  </w:style>
  <w:style w:type="paragraph" w:customStyle="1" w:styleId="Obrzek-nadpis">
    <w:name w:val="Obrázek - nadpis"/>
    <w:basedOn w:val="Normln"/>
    <w:qFormat/>
    <w:rsid w:val="00E05B89"/>
    <w:pPr>
      <w:keepNext/>
      <w:spacing w:before="120" w:after="240" w:line="240" w:lineRule="auto"/>
      <w:jc w:val="both"/>
    </w:pPr>
    <w:rPr>
      <w:rFonts w:ascii="Arial" w:eastAsia="Times New Roman" w:hAnsi="Arial" w:cs="Times New Roman"/>
      <w:b/>
      <w:szCs w:val="24"/>
      <w:lang w:eastAsia="cs-CZ"/>
    </w:rPr>
  </w:style>
  <w:style w:type="paragraph" w:customStyle="1" w:styleId="Zdroj">
    <w:name w:val="Zdroj"/>
    <w:basedOn w:val="Normln"/>
    <w:qFormat/>
    <w:rsid w:val="00E05B89"/>
    <w:pPr>
      <w:spacing w:before="120" w:after="120" w:line="240" w:lineRule="auto"/>
    </w:pPr>
    <w:rPr>
      <w:rFonts w:ascii="Arial" w:eastAsia="Times New Roman" w:hAnsi="Arial" w:cs="Times New Roman"/>
      <w:i/>
      <w:sz w:val="18"/>
      <w:szCs w:val="24"/>
      <w:lang w:eastAsia="cs-CZ"/>
    </w:rPr>
  </w:style>
  <w:style w:type="paragraph" w:customStyle="1" w:styleId="komentzaobrzkem">
    <w:name w:val="komentář za obrázkem"/>
    <w:basedOn w:val="Normln"/>
    <w:qFormat/>
    <w:rsid w:val="00E05B89"/>
    <w:pPr>
      <w:spacing w:after="60" w:line="240" w:lineRule="auto"/>
      <w:jc w:val="both"/>
    </w:pPr>
    <w:rPr>
      <w:rFonts w:ascii="Arial" w:eastAsia="Times New Roman" w:hAnsi="Arial" w:cs="Times New Roman"/>
      <w:i/>
      <w:sz w:val="18"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18589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0CB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0CB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0CB9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A624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24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4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24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A624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2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624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624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624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4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24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624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624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D17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CharCharCharChar2CharCharChar">
    <w:name w:val="Char Char1 Char Char Char Char Char Char2 Char Char Char"/>
    <w:basedOn w:val="Normln"/>
    <w:rsid w:val="00592166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0689"/>
  </w:style>
  <w:style w:type="paragraph" w:styleId="Nadpis1">
    <w:name w:val="heading 1"/>
    <w:basedOn w:val="Normln"/>
    <w:next w:val="Normln"/>
    <w:link w:val="Nadpis1Char"/>
    <w:uiPriority w:val="9"/>
    <w:qFormat/>
    <w:rsid w:val="00A62487"/>
    <w:pPr>
      <w:keepNext/>
      <w:keepLines/>
      <w:numPr>
        <w:numId w:val="1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2487"/>
    <w:pPr>
      <w:keepNext/>
      <w:keepLines/>
      <w:numPr>
        <w:ilvl w:val="1"/>
        <w:numId w:val="1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62487"/>
    <w:pPr>
      <w:keepNext/>
      <w:keepLines/>
      <w:numPr>
        <w:ilvl w:val="2"/>
        <w:numId w:val="1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62487"/>
    <w:pPr>
      <w:keepNext/>
      <w:keepLines/>
      <w:numPr>
        <w:ilvl w:val="3"/>
        <w:numId w:val="1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62487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487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2487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62487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62487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072A5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A072A5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4298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D5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577B"/>
  </w:style>
  <w:style w:type="paragraph" w:styleId="Zpat">
    <w:name w:val="footer"/>
    <w:basedOn w:val="Normln"/>
    <w:link w:val="ZpatChar"/>
    <w:uiPriority w:val="99"/>
    <w:unhideWhenUsed/>
    <w:rsid w:val="004D5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577B"/>
  </w:style>
  <w:style w:type="paragraph" w:styleId="Textbubliny">
    <w:name w:val="Balloon Text"/>
    <w:basedOn w:val="Normln"/>
    <w:link w:val="TextbublinyChar"/>
    <w:uiPriority w:val="99"/>
    <w:semiHidden/>
    <w:unhideWhenUsed/>
    <w:rsid w:val="00E0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5B89"/>
    <w:rPr>
      <w:rFonts w:ascii="Tahoma" w:hAnsi="Tahoma" w:cs="Tahoma"/>
      <w:sz w:val="16"/>
      <w:szCs w:val="16"/>
    </w:rPr>
  </w:style>
  <w:style w:type="paragraph" w:customStyle="1" w:styleId="Obrzek-nadpis">
    <w:name w:val="Obrázek - nadpis"/>
    <w:basedOn w:val="Normln"/>
    <w:qFormat/>
    <w:rsid w:val="00E05B89"/>
    <w:pPr>
      <w:keepNext/>
      <w:spacing w:before="120" w:after="240" w:line="240" w:lineRule="auto"/>
      <w:jc w:val="both"/>
    </w:pPr>
    <w:rPr>
      <w:rFonts w:ascii="Arial" w:eastAsia="Times New Roman" w:hAnsi="Arial" w:cs="Times New Roman"/>
      <w:b/>
      <w:szCs w:val="24"/>
      <w:lang w:eastAsia="cs-CZ"/>
    </w:rPr>
  </w:style>
  <w:style w:type="paragraph" w:customStyle="1" w:styleId="Zdroj">
    <w:name w:val="Zdroj"/>
    <w:basedOn w:val="Normln"/>
    <w:qFormat/>
    <w:rsid w:val="00E05B89"/>
    <w:pPr>
      <w:spacing w:before="120" w:after="120" w:line="240" w:lineRule="auto"/>
    </w:pPr>
    <w:rPr>
      <w:rFonts w:ascii="Arial" w:eastAsia="Times New Roman" w:hAnsi="Arial" w:cs="Times New Roman"/>
      <w:i/>
      <w:sz w:val="18"/>
      <w:szCs w:val="24"/>
      <w:lang w:eastAsia="cs-CZ"/>
    </w:rPr>
  </w:style>
  <w:style w:type="paragraph" w:customStyle="1" w:styleId="komentzaobrzkem">
    <w:name w:val="komentář za obrázkem"/>
    <w:basedOn w:val="Normln"/>
    <w:qFormat/>
    <w:rsid w:val="00E05B89"/>
    <w:pPr>
      <w:spacing w:after="60" w:line="240" w:lineRule="auto"/>
      <w:jc w:val="both"/>
    </w:pPr>
    <w:rPr>
      <w:rFonts w:ascii="Arial" w:eastAsia="Times New Roman" w:hAnsi="Arial" w:cs="Times New Roman"/>
      <w:i/>
      <w:sz w:val="18"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18589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0CB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0CB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0CB9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A624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24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4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24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A624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2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624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624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624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4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24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624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624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D17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CharCharCharChar2CharCharChar">
    <w:name w:val="Char Char1 Char Char Char Char Char Char2 Char Char Char"/>
    <w:basedOn w:val="Normln"/>
    <w:rsid w:val="00592166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0951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91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86764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16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377515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23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9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675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3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670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7930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7367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213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18768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0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1434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9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726421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60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458841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98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216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2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901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8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587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980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625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4034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162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298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9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5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3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06129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0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242517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40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264103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319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94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689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397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843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5910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4526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112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034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8490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044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0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A8AB-D2FE-4904-BB6E-00B0C460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499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Špičková Hana</cp:lastModifiedBy>
  <cp:revision>8</cp:revision>
  <cp:lastPrinted>2018-02-14T13:01:00Z</cp:lastPrinted>
  <dcterms:created xsi:type="dcterms:W3CDTF">2018-02-14T16:06:00Z</dcterms:created>
  <dcterms:modified xsi:type="dcterms:W3CDTF">2018-02-15T10:46:00Z</dcterms:modified>
</cp:coreProperties>
</file>